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非转基因一级菜籽油招标公告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四川省郫县豆瓣股份有限公司拟对“非转基因一级菜籽油”进行招标，兹邀请相关供应商参加投标。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项目概况与招标</w:t>
      </w:r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非转基因一级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菜籽油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采购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.2项目简介：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，选取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年度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非转基因一级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菜籽油供应商。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1.3 需求量：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年度需求约700吨（绿色一级菜籽油约200吨，普通一级菜籽油约500吨）。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定价机制：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当市场行情变动较大时，以2个月为一个锁价周期进行调价。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1.5 质量要求：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严格按照GB-1536非转基因一级菜籽油进行验收。每批次送货提供出厂检验报告；半年提供一次三方机构外检报告、塑化剂报告。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1.6 送货要求：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1天到货（提前一天告知送货数量，次日上午送达），紧急订单上午通知下午到货；每次送货数量5-12吨；自带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菜籽油专用罐车运输。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 xml:space="preserve">1.7 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结算周期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：半个月为一个结算周期。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营业执照（经营范围含生产和销售食用植物油），绿色菜籽油厂家提供绿色菜籽一级油证书。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报名资格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报名资格自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上午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pStyle w:val="2"/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4.投标文件要求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投标文件含报价单、招标要求中1.4-1.7项承诺函（若有偏差需描述），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4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13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10:00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熊先生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15700497232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